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专业技术岗位评聘系统操作说明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本次专业技术岗位评聘系统为试运行，满足基本申报、审核、公示的功能。下一步，系统设计公司将逐步完善其他相关功能，实现网上评审。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一、</w:t>
      </w:r>
      <w:r>
        <w:rPr>
          <w:rFonts w:hint="eastAsia" w:ascii="微软雅黑" w:hAnsi="微软雅黑" w:eastAsia="微软雅黑"/>
          <w:sz w:val="28"/>
          <w:szCs w:val="28"/>
        </w:rPr>
        <w:t>登录地址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/>
          <w:sz w:val="28"/>
          <w:szCs w:val="28"/>
        </w:rPr>
        <w:instrText xml:space="preserve"> HYPERLINK "http://210.44.144.50:8888或人事处网站-评聘工作专栏。" </w:instrText>
      </w:r>
      <w:r>
        <w:rPr>
          <w:rFonts w:hint="eastAsia" w:ascii="微软雅黑" w:hAnsi="微软雅黑" w:eastAsia="微软雅黑"/>
          <w:sz w:val="28"/>
          <w:szCs w:val="28"/>
        </w:rPr>
        <w:fldChar w:fldCharType="separate"/>
      </w:r>
      <w:r>
        <w:rPr>
          <w:rStyle w:val="4"/>
          <w:rFonts w:hint="eastAsia" w:ascii="微软雅黑" w:hAnsi="微软雅黑" w:eastAsia="微软雅黑"/>
          <w:sz w:val="28"/>
          <w:szCs w:val="28"/>
        </w:rPr>
        <w:t>http://210.44.144.50:8888</w:t>
      </w:r>
      <w:r>
        <w:rPr>
          <w:rStyle w:val="4"/>
          <w:rFonts w:hint="eastAsia" w:ascii="微软雅黑" w:hAnsi="微软雅黑" w:eastAsia="微软雅黑"/>
          <w:sz w:val="28"/>
          <w:szCs w:val="28"/>
          <w:lang w:eastAsia="zh-CN"/>
        </w:rPr>
        <w:t>或人事处网站-评聘工作专栏。</w:t>
      </w:r>
      <w:r>
        <w:rPr>
          <w:rFonts w:hint="eastAsia" w:ascii="微软雅黑" w:hAnsi="微软雅黑" w:eastAsia="微软雅黑"/>
          <w:sz w:val="28"/>
          <w:szCs w:val="28"/>
        </w:rPr>
        <w:fldChar w:fldCharType="end"/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二、登录方式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户名：qlgd加工号，密码：工号。如：户名：qlgd501701，密码：501701;户名：qlgdh201701，密码：h501701。全校所有人员均可登录，公示材料时可以登录账号查看。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highlight w:val="yellow"/>
          <w:lang w:val="en-US" w:eastAsia="zh-CN"/>
        </w:rPr>
        <w:t>登录后请</w:t>
      </w: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8"/>
          <w:highlight w:val="yellow"/>
          <w:lang w:val="en-US" w:eastAsia="zh-CN"/>
        </w:rPr>
        <w:t>及时修改密码。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如图：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84495" cy="1661795"/>
            <wp:effectExtent l="0" t="0" r="1905" b="1460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三、申报人员网上申报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1、申报人员登录系统后，按照申报的系列填写一览表、评聘表等内容，填写标准见具体填写说明。 其中:推荐单位选项为申报人员把材料要报送的机构。报送某学院选填某学院，报送思政系列选填学生处，报送实验系列选填实验管理中心，教师外其他系列的选填人事处。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申报教师岗位为基本信息、教学科研成果两页表、申报教师外岗位为一页表。具体详见填写说明。</w:t>
      </w:r>
    </w:p>
    <w:p>
      <w:pPr>
        <w:pStyle w:val="6"/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406390" cy="266192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2、申报人员添加论文、项目、奖励等成果的扫描件或pdf文件（申报高级岗位的人员上传相关论文的检索报告，附件上传支持pdf、jpg等多种格式）。</w:t>
      </w:r>
    </w:p>
    <w:p>
      <w:pPr>
        <w:pStyle w:val="6"/>
        <w:numPr>
          <w:ilvl w:val="0"/>
          <w:numId w:val="0"/>
        </w:numPr>
        <w:ind w:left="900" w:leftChars="20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559425" cy="2997835"/>
            <wp:effectExtent l="0" t="0" r="317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="979" w:leftChars="466" w:firstLine="0" w:firstLineChars="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1"/>
        </w:num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填写完成后，点击报批，由单位负责审核通过后打印。可以点击导出word打印，格式不对的可以调整格式，不允许调整内容，网上内容须与打印上报表格一致。</w:t>
      </w:r>
    </w:p>
    <w:p>
      <w:pPr>
        <w:pStyle w:val="6"/>
        <w:numPr>
          <w:ilvl w:val="0"/>
          <w:numId w:val="0"/>
        </w:numPr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2729230"/>
            <wp:effectExtent l="0" t="0" r="254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四、单位审核上报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各单位审核本单位申报人员表格等资料，将审核通过人员点击上报人事处，审核不通过的可以点击驳回。如图：点击右下角我的任务栏。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numPr>
          <w:ilvl w:val="0"/>
          <w:numId w:val="0"/>
        </w:numPr>
        <w:ind w:firstLine="560" w:firstLineChars="200"/>
        <w:jc w:val="center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drawing>
          <wp:inline distT="0" distB="0" distL="114300" distR="114300">
            <wp:extent cx="5116830" cy="2435860"/>
            <wp:effectExtent l="0" t="0" r="7620" b="2540"/>
            <wp:docPr id="12" name="图片 12" descr="图片1_co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_conew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9490" cy="2609215"/>
            <wp:effectExtent l="0" t="0" r="10160" b="635"/>
            <wp:docPr id="13" name="图片 13" descr="图片2_co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2_conew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五、公示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申报完毕后，学校将从网上公示所有申报人员的材料。查看公示资料个人凭自己的账号登录系统查看。</w:t>
      </w:r>
    </w:p>
    <w:p>
      <w:pPr>
        <w:pStyle w:val="6"/>
        <w:numPr>
          <w:ilvl w:val="0"/>
          <w:numId w:val="0"/>
        </w:numPr>
        <w:ind w:left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E96E"/>
    <w:multiLevelType w:val="singleLevel"/>
    <w:tmpl w:val="5A1BE96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9"/>
    <w:rsid w:val="00121CC9"/>
    <w:rsid w:val="001F72BD"/>
    <w:rsid w:val="00317012"/>
    <w:rsid w:val="00727564"/>
    <w:rsid w:val="00730055"/>
    <w:rsid w:val="009B4E5A"/>
    <w:rsid w:val="009B6804"/>
    <w:rsid w:val="00B7092F"/>
    <w:rsid w:val="00C80C80"/>
    <w:rsid w:val="023C62CE"/>
    <w:rsid w:val="024F1435"/>
    <w:rsid w:val="05EE5A89"/>
    <w:rsid w:val="07F5671E"/>
    <w:rsid w:val="0A18180B"/>
    <w:rsid w:val="18344292"/>
    <w:rsid w:val="1DD928D4"/>
    <w:rsid w:val="1F59518D"/>
    <w:rsid w:val="25166F06"/>
    <w:rsid w:val="26982CB7"/>
    <w:rsid w:val="28610F51"/>
    <w:rsid w:val="29A20878"/>
    <w:rsid w:val="2A04594D"/>
    <w:rsid w:val="2B2C1B2C"/>
    <w:rsid w:val="30F056D2"/>
    <w:rsid w:val="3270349D"/>
    <w:rsid w:val="36FD22C3"/>
    <w:rsid w:val="385F31D9"/>
    <w:rsid w:val="3A250CFE"/>
    <w:rsid w:val="42EA04E1"/>
    <w:rsid w:val="43E75831"/>
    <w:rsid w:val="466870CC"/>
    <w:rsid w:val="480938E5"/>
    <w:rsid w:val="4A972F60"/>
    <w:rsid w:val="4B5E628F"/>
    <w:rsid w:val="505C6AC0"/>
    <w:rsid w:val="50923AB5"/>
    <w:rsid w:val="54621FCD"/>
    <w:rsid w:val="54CC00FB"/>
    <w:rsid w:val="56FD48D5"/>
    <w:rsid w:val="5CC2020B"/>
    <w:rsid w:val="5EA05888"/>
    <w:rsid w:val="62221694"/>
    <w:rsid w:val="62A516E4"/>
    <w:rsid w:val="6A883416"/>
    <w:rsid w:val="6AED07CB"/>
    <w:rsid w:val="6D1425E5"/>
    <w:rsid w:val="6E6C7583"/>
    <w:rsid w:val="6F0612BE"/>
    <w:rsid w:val="6F754892"/>
    <w:rsid w:val="7D1B5206"/>
    <w:rsid w:val="7D443858"/>
    <w:rsid w:val="7D6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</Words>
  <Characters>375</Characters>
  <Lines>3</Lines>
  <Paragraphs>1</Paragraphs>
  <ScaleCrop>false</ScaleCrop>
  <LinksUpToDate>false</LinksUpToDate>
  <CharactersWithSpaces>439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2017-11-25T08:54:00Z</dcterms:created>
  <dc:creator>Wang</dc:creator>
  <cp:lastModifiedBy>admin</cp:lastModifiedBy>
  <dcterms:modified xsi:type="dcterms:W3CDTF">2017-11-28T08:20:14Z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